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BAD" w:rsidRDefault="00BC2BAD" w:rsidP="00BC2BAD">
      <w:pPr>
        <w:rPr>
          <w:rFonts w:asciiTheme="minorHAnsi" w:hAnsiTheme="minorHAnsi"/>
          <w:b/>
          <w:bCs/>
        </w:rPr>
      </w:pPr>
      <w:r>
        <w:rPr>
          <w:rFonts w:asciiTheme="minorHAnsi" w:hAnsiTheme="minorHAnsi"/>
          <w:b/>
          <w:bCs/>
        </w:rPr>
        <w:t>Hi. My name is _____________ and I work with Uniting (Vic Tas Ltd.) Today is 24</w:t>
      </w:r>
      <w:r w:rsidRPr="009A5AFF">
        <w:rPr>
          <w:rFonts w:asciiTheme="minorHAnsi" w:hAnsiTheme="minorHAnsi"/>
          <w:b/>
          <w:bCs/>
          <w:vertAlign w:val="superscript"/>
        </w:rPr>
        <w:t>th</w:t>
      </w:r>
      <w:r>
        <w:rPr>
          <w:rFonts w:asciiTheme="minorHAnsi" w:hAnsiTheme="minorHAnsi"/>
          <w:b/>
          <w:bCs/>
        </w:rPr>
        <w:t xml:space="preserve"> June 2020 and I am sharing with you some updates around restrictions and changes to the ease of restrictions. In this audio clip I will talk about protocols to be followed in </w:t>
      </w:r>
      <w:r>
        <w:rPr>
          <w:rFonts w:asciiTheme="minorHAnsi" w:hAnsiTheme="minorHAnsi"/>
          <w:b/>
          <w:bCs/>
        </w:rPr>
        <w:t>sport and exercise, work and study and entertainment and culture</w:t>
      </w:r>
      <w:bookmarkStart w:id="0" w:name="_GoBack"/>
      <w:bookmarkEnd w:id="0"/>
      <w:r>
        <w:rPr>
          <w:rFonts w:asciiTheme="minorHAnsi" w:hAnsiTheme="minorHAnsi"/>
          <w:b/>
          <w:bCs/>
        </w:rPr>
        <w:t xml:space="preserve"> considering COVID19.</w:t>
      </w:r>
    </w:p>
    <w:p w:rsidR="00BC2BAD" w:rsidRDefault="00BC2BAD" w:rsidP="001B1496">
      <w:pPr>
        <w:rPr>
          <w:rFonts w:asciiTheme="minorHAnsi" w:hAnsiTheme="minorHAnsi"/>
          <w:b/>
          <w:bCs/>
        </w:rPr>
      </w:pPr>
    </w:p>
    <w:p w:rsidR="001B1496" w:rsidRPr="0054113B" w:rsidRDefault="001B1496" w:rsidP="001B1496">
      <w:pPr>
        <w:rPr>
          <w:rFonts w:asciiTheme="minorHAnsi" w:hAnsiTheme="minorHAnsi"/>
          <w:b/>
          <w:bCs/>
        </w:rPr>
      </w:pPr>
      <w:r w:rsidRPr="0054113B">
        <w:rPr>
          <w:rFonts w:asciiTheme="minorHAnsi" w:hAnsiTheme="minorHAnsi"/>
          <w:b/>
          <w:bCs/>
        </w:rPr>
        <w:t>Sport and exercise</w:t>
      </w:r>
    </w:p>
    <w:p w:rsidR="001B1496" w:rsidRPr="00DD333E" w:rsidRDefault="001B1496" w:rsidP="001B1496">
      <w:pPr>
        <w:numPr>
          <w:ilvl w:val="0"/>
          <w:numId w:val="1"/>
        </w:numPr>
        <w:rPr>
          <w:rFonts w:asciiTheme="minorHAnsi" w:eastAsia="Times New Roman" w:hAnsiTheme="minorHAnsi"/>
          <w:lang w:eastAsia="en-AU"/>
        </w:rPr>
      </w:pPr>
      <w:r w:rsidRPr="00DD333E">
        <w:rPr>
          <w:rFonts w:asciiTheme="minorHAnsi" w:eastAsia="Times New Roman" w:hAnsiTheme="minorHAnsi"/>
          <w:lang w:eastAsia="en-AU"/>
        </w:rPr>
        <w:t xml:space="preserve">Indoor sports centres and venues (for example, gyms, health clubs, class-based fitness studios, dance studios) can open. No more than 20 participants are allowed per separate space, subject to the </w:t>
      </w:r>
      <w:proofErr w:type="gramStart"/>
      <w:r w:rsidRPr="00DD333E">
        <w:rPr>
          <w:rFonts w:asciiTheme="minorHAnsi" w:eastAsia="Times New Roman" w:hAnsiTheme="minorHAnsi"/>
          <w:lang w:eastAsia="en-AU"/>
        </w:rPr>
        <w:t>four square</w:t>
      </w:r>
      <w:proofErr w:type="gramEnd"/>
      <w:r w:rsidRPr="00DD333E">
        <w:rPr>
          <w:rFonts w:asciiTheme="minorHAnsi" w:eastAsia="Times New Roman" w:hAnsiTheme="minorHAnsi"/>
          <w:lang w:eastAsia="en-AU"/>
        </w:rPr>
        <w:t xml:space="preserve"> metre rule, with up to 10 people per group or class. There are no limits on the number of people per group or class if all participants are 18 years old or younger.</w:t>
      </w:r>
    </w:p>
    <w:p w:rsidR="001B1496" w:rsidRPr="00DD333E" w:rsidRDefault="001B1496" w:rsidP="001B1496">
      <w:pPr>
        <w:numPr>
          <w:ilvl w:val="0"/>
          <w:numId w:val="1"/>
        </w:numPr>
        <w:rPr>
          <w:rFonts w:asciiTheme="minorHAnsi" w:eastAsia="Times New Roman" w:hAnsiTheme="minorHAnsi"/>
          <w:lang w:eastAsia="en-AU"/>
        </w:rPr>
      </w:pPr>
      <w:r w:rsidRPr="00DD333E">
        <w:rPr>
          <w:rFonts w:asciiTheme="minorHAnsi" w:eastAsia="Times New Roman" w:hAnsiTheme="minorHAnsi"/>
          <w:lang w:eastAsia="en-AU"/>
        </w:rPr>
        <w:t>For adults, indoor and outdoor sport and exercise activities are allowed if participants can keep 1.5 metres between them and there are no more than 20 people participating, or no more than 10 participants in a class.</w:t>
      </w:r>
    </w:p>
    <w:p w:rsidR="001B1496" w:rsidRPr="00DD333E" w:rsidRDefault="001B1496" w:rsidP="001B1496">
      <w:pPr>
        <w:numPr>
          <w:ilvl w:val="0"/>
          <w:numId w:val="1"/>
        </w:numPr>
        <w:rPr>
          <w:rFonts w:asciiTheme="minorHAnsi" w:eastAsia="Times New Roman" w:hAnsiTheme="minorHAnsi"/>
          <w:lang w:eastAsia="en-AU"/>
        </w:rPr>
      </w:pPr>
      <w:r w:rsidRPr="00DD333E">
        <w:rPr>
          <w:rFonts w:asciiTheme="minorHAnsi" w:eastAsia="Times New Roman" w:hAnsiTheme="minorHAnsi"/>
          <w:lang w:eastAsia="en-AU"/>
        </w:rPr>
        <w:t>Organised non-contact competitions are allowed for all age groups if participants can keep 1.5 metres between them and there are no more than 20 participants in the competition.</w:t>
      </w:r>
    </w:p>
    <w:p w:rsidR="001B1496" w:rsidRPr="00DD333E" w:rsidRDefault="001B1496" w:rsidP="001B1496">
      <w:pPr>
        <w:numPr>
          <w:ilvl w:val="0"/>
          <w:numId w:val="1"/>
        </w:numPr>
        <w:rPr>
          <w:rFonts w:asciiTheme="minorHAnsi" w:eastAsia="Times New Roman" w:hAnsiTheme="minorHAnsi"/>
          <w:lang w:eastAsia="en-AU"/>
        </w:rPr>
      </w:pPr>
      <w:r w:rsidRPr="00DD333E">
        <w:rPr>
          <w:rFonts w:asciiTheme="minorHAnsi" w:eastAsia="Times New Roman" w:hAnsiTheme="minorHAnsi"/>
          <w:lang w:eastAsia="en-AU"/>
        </w:rPr>
        <w:t>For people aged 18 years and under, full-contact training and competition may resume.</w:t>
      </w:r>
    </w:p>
    <w:p w:rsidR="001B1496" w:rsidRDefault="001B1496" w:rsidP="001B1496">
      <w:pPr>
        <w:numPr>
          <w:ilvl w:val="0"/>
          <w:numId w:val="1"/>
        </w:numPr>
        <w:rPr>
          <w:rFonts w:asciiTheme="minorHAnsi" w:eastAsia="Times New Roman" w:hAnsiTheme="minorHAnsi"/>
          <w:lang w:eastAsia="en-AU"/>
        </w:rPr>
      </w:pPr>
      <w:r w:rsidRPr="00DD333E">
        <w:rPr>
          <w:rFonts w:asciiTheme="minorHAnsi" w:eastAsia="Times New Roman" w:hAnsiTheme="minorHAnsi"/>
          <w:lang w:eastAsia="en-AU"/>
        </w:rPr>
        <w:t xml:space="preserve">Spectators for training and competitions must abide by gathering restrictions – spectators should be in groups of no more than </w:t>
      </w:r>
      <w:r w:rsidRPr="008466FD">
        <w:rPr>
          <w:rFonts w:asciiTheme="minorHAnsi" w:eastAsia="Times New Roman" w:hAnsiTheme="minorHAnsi"/>
          <w:highlight w:val="yellow"/>
          <w:lang w:eastAsia="en-AU"/>
        </w:rPr>
        <w:t>10</w:t>
      </w:r>
      <w:r w:rsidRPr="00DD333E">
        <w:rPr>
          <w:rFonts w:asciiTheme="minorHAnsi" w:eastAsia="Times New Roman" w:hAnsiTheme="minorHAnsi"/>
          <w:lang w:eastAsia="en-AU"/>
        </w:rPr>
        <w:t xml:space="preserve"> and spread out around the ground or venue.</w:t>
      </w:r>
    </w:p>
    <w:p w:rsidR="001B1496" w:rsidRPr="008466FD" w:rsidRDefault="001B1496" w:rsidP="001B1496">
      <w:pPr>
        <w:numPr>
          <w:ilvl w:val="0"/>
          <w:numId w:val="1"/>
        </w:numPr>
        <w:rPr>
          <w:rFonts w:asciiTheme="minorHAnsi" w:eastAsia="Times New Roman" w:hAnsiTheme="minorHAnsi"/>
          <w:highlight w:val="yellow"/>
          <w:lang w:eastAsia="en-AU"/>
        </w:rPr>
      </w:pPr>
      <w:r w:rsidRPr="008466FD">
        <w:rPr>
          <w:highlight w:val="yellow"/>
        </w:rPr>
        <w:t>If indoors, no spectators are allowed – just those necessary for the competition or training and to support the participants (e.g. supervising parents).</w:t>
      </w:r>
    </w:p>
    <w:p w:rsidR="001B1496" w:rsidRPr="00DD333E" w:rsidRDefault="001B1496" w:rsidP="001B1496">
      <w:pPr>
        <w:numPr>
          <w:ilvl w:val="0"/>
          <w:numId w:val="1"/>
        </w:numPr>
        <w:rPr>
          <w:rFonts w:asciiTheme="minorHAnsi" w:eastAsia="Times New Roman" w:hAnsiTheme="minorHAnsi"/>
          <w:lang w:eastAsia="en-AU"/>
        </w:rPr>
      </w:pPr>
      <w:r w:rsidRPr="00DD333E">
        <w:rPr>
          <w:rFonts w:asciiTheme="minorHAnsi" w:eastAsia="Times New Roman" w:hAnsiTheme="minorHAnsi"/>
          <w:lang w:eastAsia="en-AU"/>
        </w:rPr>
        <w:t>Indoor and outdoor swimming pools can have a maximum of 20 patrons. There is no limit on the number of people per lane in each pool.</w:t>
      </w:r>
    </w:p>
    <w:p w:rsidR="001B1496" w:rsidRPr="00DD333E" w:rsidRDefault="001B1496" w:rsidP="001B1496">
      <w:pPr>
        <w:numPr>
          <w:ilvl w:val="0"/>
          <w:numId w:val="1"/>
        </w:numPr>
        <w:rPr>
          <w:rFonts w:asciiTheme="minorHAnsi" w:eastAsia="Times New Roman" w:hAnsiTheme="minorHAnsi"/>
          <w:lang w:eastAsia="en-AU"/>
        </w:rPr>
      </w:pPr>
      <w:r w:rsidRPr="00DD333E">
        <w:rPr>
          <w:rFonts w:asciiTheme="minorHAnsi" w:eastAsia="Times New Roman" w:hAnsiTheme="minorHAnsi"/>
          <w:lang w:eastAsia="en-AU"/>
        </w:rPr>
        <w:t>Communal facilities, such as change rooms, can now open for indoor and outdoor sport venues.</w:t>
      </w:r>
    </w:p>
    <w:p w:rsidR="001B1496" w:rsidRPr="00DD333E" w:rsidRDefault="001B1496" w:rsidP="001B1496">
      <w:pPr>
        <w:numPr>
          <w:ilvl w:val="0"/>
          <w:numId w:val="1"/>
        </w:numPr>
        <w:rPr>
          <w:rFonts w:asciiTheme="minorHAnsi" w:eastAsia="Times New Roman" w:hAnsiTheme="minorHAnsi"/>
          <w:lang w:eastAsia="en-AU"/>
        </w:rPr>
      </w:pPr>
      <w:r w:rsidRPr="00DD333E">
        <w:rPr>
          <w:rFonts w:asciiTheme="minorHAnsi" w:eastAsia="Times New Roman" w:hAnsiTheme="minorHAnsi"/>
          <w:lang w:eastAsia="en-AU"/>
        </w:rPr>
        <w:t>Play</w:t>
      </w:r>
      <w:r>
        <w:rPr>
          <w:rFonts w:asciiTheme="minorHAnsi" w:eastAsia="Times New Roman" w:hAnsiTheme="minorHAnsi"/>
          <w:lang w:eastAsia="en-AU"/>
        </w:rPr>
        <w:t xml:space="preserve"> </w:t>
      </w:r>
      <w:r w:rsidRPr="00DD333E">
        <w:rPr>
          <w:rFonts w:asciiTheme="minorHAnsi" w:eastAsia="Times New Roman" w:hAnsiTheme="minorHAnsi"/>
          <w:lang w:eastAsia="en-AU"/>
        </w:rPr>
        <w:t>centres including trampolining can now open for up to 20 people per space, with up to 10 people per group. There are no limits on the number of people per group if all participants are 18 years old or younger.</w:t>
      </w:r>
    </w:p>
    <w:p w:rsidR="001B1496" w:rsidRPr="00DD333E" w:rsidRDefault="001B1496" w:rsidP="001B1496">
      <w:pPr>
        <w:numPr>
          <w:ilvl w:val="0"/>
          <w:numId w:val="1"/>
        </w:numPr>
        <w:rPr>
          <w:rFonts w:asciiTheme="minorHAnsi" w:eastAsia="Times New Roman" w:hAnsiTheme="minorHAnsi"/>
          <w:lang w:eastAsia="en-AU"/>
        </w:rPr>
      </w:pPr>
      <w:r w:rsidRPr="00DD333E">
        <w:rPr>
          <w:rFonts w:asciiTheme="minorHAnsi" w:eastAsia="Times New Roman" w:hAnsiTheme="minorHAnsi"/>
          <w:lang w:eastAsia="en-AU"/>
        </w:rPr>
        <w:t xml:space="preserve">Large indoor venues will be able to allocate separate spaces and have up to 20 people in each space. For </w:t>
      </w:r>
      <w:proofErr w:type="gramStart"/>
      <w:r w:rsidRPr="00DD333E">
        <w:rPr>
          <w:rFonts w:asciiTheme="minorHAnsi" w:eastAsia="Times New Roman" w:hAnsiTheme="minorHAnsi"/>
          <w:lang w:eastAsia="en-AU"/>
        </w:rPr>
        <w:t>example</w:t>
      </w:r>
      <w:proofErr w:type="gramEnd"/>
      <w:r w:rsidRPr="00DD333E">
        <w:rPr>
          <w:rFonts w:asciiTheme="minorHAnsi" w:eastAsia="Times New Roman" w:hAnsiTheme="minorHAnsi"/>
          <w:lang w:eastAsia="en-AU"/>
        </w:rPr>
        <w:t xml:space="preserve"> a large indoor court could be separated into 2 spaces for different groups at each end.</w:t>
      </w:r>
    </w:p>
    <w:p w:rsidR="001B1496" w:rsidRPr="0054113B" w:rsidRDefault="001B1496" w:rsidP="001B1496">
      <w:pPr>
        <w:rPr>
          <w:rFonts w:asciiTheme="minorHAnsi" w:hAnsiTheme="minorHAnsi"/>
        </w:rPr>
      </w:pPr>
    </w:p>
    <w:p w:rsidR="001B1496" w:rsidRDefault="001B1496" w:rsidP="001B1496">
      <w:pPr>
        <w:rPr>
          <w:rFonts w:asciiTheme="minorHAnsi" w:hAnsiTheme="minorHAnsi"/>
          <w:b/>
          <w:bCs/>
        </w:rPr>
      </w:pPr>
      <w:r>
        <w:rPr>
          <w:rFonts w:asciiTheme="minorHAnsi" w:hAnsiTheme="minorHAnsi"/>
          <w:b/>
          <w:bCs/>
        </w:rPr>
        <w:t>Work and Study</w:t>
      </w:r>
    </w:p>
    <w:p w:rsidR="001B1496" w:rsidRPr="006328A9" w:rsidRDefault="001B1496" w:rsidP="001B1496">
      <w:pPr>
        <w:pStyle w:val="ListParagraph"/>
        <w:numPr>
          <w:ilvl w:val="0"/>
          <w:numId w:val="4"/>
        </w:numPr>
        <w:rPr>
          <w:rFonts w:asciiTheme="minorHAnsi" w:hAnsiTheme="minorHAnsi"/>
          <w:b/>
          <w:bCs/>
          <w:highlight w:val="yellow"/>
        </w:rPr>
      </w:pPr>
      <w:r w:rsidRPr="006328A9">
        <w:rPr>
          <w:rFonts w:asciiTheme="minorHAnsi" w:eastAsia="Times New Roman" w:hAnsiTheme="minorHAnsi"/>
          <w:highlight w:val="yellow"/>
        </w:rPr>
        <w:t>If you can work from home, you must work from home.</w:t>
      </w:r>
    </w:p>
    <w:p w:rsidR="001B1496" w:rsidRPr="006328A9" w:rsidRDefault="001B1496" w:rsidP="001B1496">
      <w:pPr>
        <w:pStyle w:val="ListParagraph"/>
        <w:numPr>
          <w:ilvl w:val="0"/>
          <w:numId w:val="4"/>
        </w:numPr>
        <w:rPr>
          <w:rFonts w:asciiTheme="minorHAnsi" w:eastAsia="Times New Roman" w:hAnsiTheme="minorHAnsi"/>
          <w:highlight w:val="yellow"/>
        </w:rPr>
      </w:pPr>
      <w:r w:rsidRPr="006328A9">
        <w:rPr>
          <w:rFonts w:asciiTheme="minorHAnsi" w:eastAsia="Times New Roman" w:hAnsiTheme="minorHAnsi"/>
          <w:highlight w:val="yellow"/>
        </w:rPr>
        <w:t>If you’ve been working from home, you must continue to do so.</w:t>
      </w:r>
    </w:p>
    <w:p w:rsidR="001B1496" w:rsidRPr="006328A9" w:rsidRDefault="001B1496" w:rsidP="001B1496">
      <w:pPr>
        <w:pStyle w:val="ListParagraph"/>
        <w:numPr>
          <w:ilvl w:val="0"/>
          <w:numId w:val="4"/>
        </w:numPr>
        <w:rPr>
          <w:rFonts w:asciiTheme="minorHAnsi" w:eastAsia="Times New Roman" w:hAnsiTheme="minorHAnsi"/>
          <w:highlight w:val="yellow"/>
        </w:rPr>
      </w:pPr>
      <w:r w:rsidRPr="006328A9">
        <w:rPr>
          <w:rFonts w:asciiTheme="minorHAnsi" w:eastAsia="Times New Roman" w:hAnsiTheme="minorHAnsi"/>
          <w:highlight w:val="yellow"/>
        </w:rPr>
        <w:t>If it’s not possible for your work to be done from home, you can still go to work. When at work, you should ensure appropriate physical distancing by keeping at least 1.5 metres between you and others wherever possible and practising good hygiene.</w:t>
      </w:r>
    </w:p>
    <w:p w:rsidR="001B1496" w:rsidRPr="008466FD" w:rsidRDefault="001B1496" w:rsidP="001B1496">
      <w:pPr>
        <w:pStyle w:val="ListParagraph"/>
        <w:numPr>
          <w:ilvl w:val="0"/>
          <w:numId w:val="4"/>
        </w:numPr>
        <w:rPr>
          <w:rFonts w:asciiTheme="minorHAnsi" w:eastAsia="Times New Roman" w:hAnsiTheme="minorHAnsi"/>
        </w:rPr>
      </w:pPr>
      <w:r w:rsidRPr="006328A9">
        <w:rPr>
          <w:rFonts w:asciiTheme="minorHAnsi" w:eastAsia="Times New Roman" w:hAnsiTheme="minorHAnsi"/>
        </w:rPr>
        <w:t>Primary school and high school students have returned to face to face learning.</w:t>
      </w:r>
    </w:p>
    <w:p w:rsidR="001B1496" w:rsidRPr="008466FD" w:rsidRDefault="001B1496" w:rsidP="001B1496">
      <w:pPr>
        <w:pStyle w:val="ListParagraph"/>
        <w:numPr>
          <w:ilvl w:val="0"/>
          <w:numId w:val="4"/>
        </w:numPr>
        <w:rPr>
          <w:rFonts w:asciiTheme="minorHAnsi" w:eastAsia="Times New Roman" w:hAnsiTheme="minorHAnsi"/>
        </w:rPr>
      </w:pPr>
      <w:r w:rsidRPr="008466FD">
        <w:rPr>
          <w:rFonts w:asciiTheme="minorHAnsi" w:eastAsia="Times New Roman" w:hAnsiTheme="minorHAnsi"/>
        </w:rPr>
        <w:t>University, college, and TAFE students should continue to learn from home if you can.</w:t>
      </w:r>
    </w:p>
    <w:p w:rsidR="001B1496" w:rsidRPr="0054113B" w:rsidRDefault="001B1496" w:rsidP="001B1496">
      <w:pPr>
        <w:rPr>
          <w:rFonts w:asciiTheme="minorHAnsi" w:hAnsiTheme="minorHAnsi"/>
        </w:rPr>
      </w:pPr>
    </w:p>
    <w:p w:rsidR="001B1496" w:rsidRPr="0054113B" w:rsidRDefault="001B1496" w:rsidP="001B1496">
      <w:pPr>
        <w:rPr>
          <w:rFonts w:asciiTheme="minorHAnsi" w:hAnsiTheme="minorHAnsi"/>
          <w:b/>
          <w:bCs/>
          <w:lang w:eastAsia="en-AU"/>
        </w:rPr>
      </w:pPr>
      <w:r w:rsidRPr="0054113B">
        <w:rPr>
          <w:rFonts w:asciiTheme="minorHAnsi" w:hAnsiTheme="minorHAnsi"/>
          <w:b/>
          <w:bCs/>
          <w:lang w:eastAsia="en-AU"/>
        </w:rPr>
        <w:t>Entertainment and Culture</w:t>
      </w:r>
    </w:p>
    <w:p w:rsidR="001B1496" w:rsidRPr="00DD333E" w:rsidRDefault="001B1496" w:rsidP="001B1496">
      <w:pPr>
        <w:rPr>
          <w:rFonts w:asciiTheme="minorHAnsi" w:eastAsia="Times New Roman" w:hAnsiTheme="minorHAnsi"/>
          <w:lang w:eastAsia="en-AU"/>
        </w:rPr>
      </w:pPr>
      <w:r>
        <w:rPr>
          <w:rFonts w:asciiTheme="minorHAnsi" w:eastAsia="Times New Roman" w:hAnsiTheme="minorHAnsi"/>
          <w:lang w:eastAsia="en-AU"/>
        </w:rPr>
        <w:t>T</w:t>
      </w:r>
      <w:r w:rsidRPr="00DD333E">
        <w:rPr>
          <w:rFonts w:asciiTheme="minorHAnsi" w:eastAsia="Times New Roman" w:hAnsiTheme="minorHAnsi"/>
          <w:lang w:eastAsia="en-AU"/>
        </w:rPr>
        <w:t xml:space="preserve">he following venues may increase to up to </w:t>
      </w:r>
      <w:r w:rsidRPr="006328A9">
        <w:rPr>
          <w:rFonts w:asciiTheme="minorHAnsi" w:eastAsia="Times New Roman" w:hAnsiTheme="minorHAnsi"/>
          <w:highlight w:val="yellow"/>
          <w:lang w:eastAsia="en-AU"/>
        </w:rPr>
        <w:t>20</w:t>
      </w:r>
      <w:r w:rsidRPr="00DD333E">
        <w:rPr>
          <w:rFonts w:asciiTheme="minorHAnsi" w:eastAsia="Times New Roman" w:hAnsiTheme="minorHAnsi"/>
          <w:lang w:eastAsia="en-AU"/>
        </w:rPr>
        <w:t xml:space="preserve"> patrons per indoor space, subject to the </w:t>
      </w:r>
      <w:proofErr w:type="gramStart"/>
      <w:r w:rsidRPr="00DD333E">
        <w:rPr>
          <w:rFonts w:asciiTheme="minorHAnsi" w:eastAsia="Times New Roman" w:hAnsiTheme="minorHAnsi"/>
          <w:lang w:eastAsia="en-AU"/>
        </w:rPr>
        <w:t>four square</w:t>
      </w:r>
      <w:proofErr w:type="gramEnd"/>
      <w:r w:rsidRPr="00DD333E">
        <w:rPr>
          <w:rFonts w:asciiTheme="minorHAnsi" w:eastAsia="Times New Roman" w:hAnsiTheme="minorHAnsi"/>
          <w:lang w:eastAsia="en-AU"/>
        </w:rPr>
        <w:t xml:space="preserve"> metre rule, For outdoors spaces, the limit is worked out using the density requirement, (one person per four square metres) applied to the entire venue. Groups are limited to </w:t>
      </w:r>
      <w:r>
        <w:rPr>
          <w:rFonts w:asciiTheme="minorHAnsi" w:eastAsia="Times New Roman" w:hAnsiTheme="minorHAnsi"/>
          <w:highlight w:val="yellow"/>
          <w:lang w:eastAsia="en-AU"/>
        </w:rPr>
        <w:t>10</w:t>
      </w:r>
      <w:r w:rsidRPr="00DD333E">
        <w:rPr>
          <w:rFonts w:asciiTheme="minorHAnsi" w:eastAsia="Times New Roman" w:hAnsiTheme="minorHAnsi"/>
          <w:lang w:eastAsia="en-AU"/>
        </w:rPr>
        <w:t xml:space="preserve"> people:</w:t>
      </w:r>
    </w:p>
    <w:p w:rsidR="001B1496" w:rsidRPr="00DD333E" w:rsidRDefault="001B1496" w:rsidP="001B1496">
      <w:pPr>
        <w:numPr>
          <w:ilvl w:val="0"/>
          <w:numId w:val="2"/>
        </w:numPr>
        <w:rPr>
          <w:rFonts w:asciiTheme="minorHAnsi" w:eastAsia="Times New Roman" w:hAnsiTheme="minorHAnsi"/>
          <w:lang w:eastAsia="en-AU"/>
        </w:rPr>
      </w:pPr>
      <w:r>
        <w:rPr>
          <w:rFonts w:asciiTheme="minorHAnsi" w:eastAsia="Times New Roman" w:hAnsiTheme="minorHAnsi"/>
          <w:lang w:eastAsia="en-AU"/>
        </w:rPr>
        <w:t>G</w:t>
      </w:r>
      <w:r w:rsidRPr="00DD333E">
        <w:rPr>
          <w:rFonts w:asciiTheme="minorHAnsi" w:eastAsia="Times New Roman" w:hAnsiTheme="minorHAnsi"/>
          <w:lang w:eastAsia="en-AU"/>
        </w:rPr>
        <w:t>alleries, museums, national institutions and historic sites</w:t>
      </w:r>
    </w:p>
    <w:p w:rsidR="001B1496" w:rsidRPr="00DD333E" w:rsidRDefault="001B1496" w:rsidP="001B1496">
      <w:pPr>
        <w:ind w:left="720"/>
        <w:rPr>
          <w:rFonts w:asciiTheme="minorHAnsi" w:eastAsia="Times New Roman" w:hAnsiTheme="minorHAnsi"/>
          <w:lang w:eastAsia="en-AU"/>
        </w:rPr>
      </w:pPr>
      <w:r>
        <w:rPr>
          <w:rFonts w:asciiTheme="minorHAnsi" w:eastAsia="Times New Roman" w:hAnsiTheme="minorHAnsi"/>
          <w:lang w:eastAsia="en-AU"/>
        </w:rPr>
        <w:t>A</w:t>
      </w:r>
      <w:r w:rsidRPr="00DD333E">
        <w:rPr>
          <w:rFonts w:asciiTheme="minorHAnsi" w:eastAsia="Times New Roman" w:hAnsiTheme="minorHAnsi"/>
          <w:lang w:eastAsia="en-AU"/>
        </w:rPr>
        <w:t>nimal facilities (zoos, wildlife parks, petting zoos, aquariums and animal farms)</w:t>
      </w:r>
    </w:p>
    <w:p w:rsidR="001B1496" w:rsidRPr="00DD333E" w:rsidRDefault="001B1496" w:rsidP="001B1496">
      <w:pPr>
        <w:numPr>
          <w:ilvl w:val="0"/>
          <w:numId w:val="3"/>
        </w:numPr>
        <w:rPr>
          <w:rFonts w:asciiTheme="minorHAnsi" w:eastAsia="Times New Roman" w:hAnsiTheme="minorHAnsi"/>
          <w:lang w:eastAsia="en-AU"/>
        </w:rPr>
      </w:pPr>
      <w:r>
        <w:rPr>
          <w:rFonts w:asciiTheme="minorHAnsi" w:eastAsia="Times New Roman" w:hAnsiTheme="minorHAnsi"/>
          <w:lang w:eastAsia="en-AU"/>
        </w:rPr>
        <w:t>O</w:t>
      </w:r>
      <w:r w:rsidRPr="00DD333E">
        <w:rPr>
          <w:rFonts w:asciiTheme="minorHAnsi" w:eastAsia="Times New Roman" w:hAnsiTheme="minorHAnsi"/>
          <w:lang w:eastAsia="en-AU"/>
        </w:rPr>
        <w:t>utdoor amusement parks and outdoor arcades</w:t>
      </w:r>
    </w:p>
    <w:p w:rsidR="001B1496" w:rsidRPr="0054113B" w:rsidRDefault="001B1496" w:rsidP="001B1496">
      <w:pPr>
        <w:pStyle w:val="ListParagraph"/>
        <w:numPr>
          <w:ilvl w:val="0"/>
          <w:numId w:val="3"/>
        </w:numPr>
        <w:rPr>
          <w:rFonts w:asciiTheme="minorHAnsi" w:eastAsia="Times New Roman" w:hAnsiTheme="minorHAnsi"/>
          <w:sz w:val="22"/>
          <w:szCs w:val="22"/>
        </w:rPr>
      </w:pPr>
      <w:r w:rsidRPr="0054113B">
        <w:rPr>
          <w:rFonts w:asciiTheme="minorHAnsi" w:eastAsia="Times New Roman" w:hAnsiTheme="minorHAnsi"/>
          <w:sz w:val="22"/>
          <w:szCs w:val="22"/>
        </w:rPr>
        <w:t>Indoor cinemas, concert venues, theatres and auditoriums, may open and have up to </w:t>
      </w:r>
      <w:r>
        <w:rPr>
          <w:rFonts w:asciiTheme="minorHAnsi" w:eastAsia="Times New Roman" w:hAnsiTheme="minorHAnsi"/>
          <w:sz w:val="22"/>
          <w:szCs w:val="22"/>
          <w:highlight w:val="yellow"/>
        </w:rPr>
        <w:t xml:space="preserve">20 </w:t>
      </w:r>
      <w:r w:rsidRPr="0054113B">
        <w:rPr>
          <w:rFonts w:asciiTheme="minorHAnsi" w:eastAsia="Times New Roman" w:hAnsiTheme="minorHAnsi"/>
          <w:sz w:val="22"/>
          <w:szCs w:val="22"/>
        </w:rPr>
        <w:t>seated patrons per venue or theatre, subject to the </w:t>
      </w:r>
      <w:proofErr w:type="gramStart"/>
      <w:r w:rsidRPr="0054113B">
        <w:rPr>
          <w:rFonts w:asciiTheme="minorHAnsi" w:eastAsia="Times New Roman" w:hAnsiTheme="minorHAnsi"/>
          <w:sz w:val="22"/>
          <w:szCs w:val="22"/>
        </w:rPr>
        <w:t>four square</w:t>
      </w:r>
      <w:proofErr w:type="gramEnd"/>
      <w:r w:rsidRPr="0054113B">
        <w:rPr>
          <w:rFonts w:asciiTheme="minorHAnsi" w:eastAsia="Times New Roman" w:hAnsiTheme="minorHAnsi"/>
          <w:sz w:val="22"/>
          <w:szCs w:val="22"/>
        </w:rPr>
        <w:t xml:space="preserve"> metre rule. Theatres with </w:t>
      </w:r>
      <w:r w:rsidRPr="0054113B">
        <w:rPr>
          <w:rFonts w:asciiTheme="minorHAnsi" w:eastAsia="Times New Roman" w:hAnsiTheme="minorHAnsi"/>
          <w:sz w:val="22"/>
          <w:szCs w:val="22"/>
        </w:rPr>
        <w:lastRenderedPageBreak/>
        <w:t xml:space="preserve">multiple seating tiers (e.g. stalls and balconies) with separate entries may seat up to </w:t>
      </w:r>
      <w:r>
        <w:rPr>
          <w:rFonts w:asciiTheme="minorHAnsi" w:eastAsia="Times New Roman" w:hAnsiTheme="minorHAnsi"/>
          <w:sz w:val="22"/>
          <w:szCs w:val="22"/>
          <w:highlight w:val="yellow"/>
        </w:rPr>
        <w:t>20</w:t>
      </w:r>
      <w:r w:rsidRPr="0054113B">
        <w:rPr>
          <w:rFonts w:asciiTheme="minorHAnsi" w:eastAsia="Times New Roman" w:hAnsiTheme="minorHAnsi"/>
          <w:sz w:val="22"/>
          <w:szCs w:val="22"/>
        </w:rPr>
        <w:t xml:space="preserve"> people per tier with density requirements of one person per four square </w:t>
      </w:r>
      <w:r>
        <w:rPr>
          <w:rFonts w:asciiTheme="minorHAnsi" w:eastAsia="Times New Roman" w:hAnsiTheme="minorHAnsi"/>
          <w:sz w:val="22"/>
          <w:szCs w:val="22"/>
        </w:rPr>
        <w:t xml:space="preserve">metres. Groups are limited to </w:t>
      </w:r>
      <w:r w:rsidRPr="006328A9">
        <w:rPr>
          <w:rFonts w:asciiTheme="minorHAnsi" w:eastAsia="Times New Roman" w:hAnsiTheme="minorHAnsi"/>
          <w:sz w:val="22"/>
          <w:szCs w:val="22"/>
          <w:highlight w:val="yellow"/>
        </w:rPr>
        <w:t>10</w:t>
      </w:r>
      <w:r w:rsidRPr="0054113B">
        <w:rPr>
          <w:rFonts w:asciiTheme="minorHAnsi" w:eastAsia="Times New Roman" w:hAnsiTheme="minorHAnsi"/>
          <w:sz w:val="22"/>
          <w:szCs w:val="22"/>
        </w:rPr>
        <w:t xml:space="preserve"> people. Between each group there must be at least 1.5 metres.</w:t>
      </w:r>
    </w:p>
    <w:p w:rsidR="001B1496" w:rsidRPr="0054113B" w:rsidRDefault="001B1496" w:rsidP="001B1496">
      <w:pPr>
        <w:pStyle w:val="ListParagraph"/>
        <w:numPr>
          <w:ilvl w:val="0"/>
          <w:numId w:val="3"/>
        </w:numPr>
        <w:rPr>
          <w:rFonts w:asciiTheme="minorHAnsi" w:eastAsia="Times New Roman" w:hAnsiTheme="minorHAnsi"/>
          <w:sz w:val="22"/>
          <w:szCs w:val="22"/>
        </w:rPr>
      </w:pPr>
      <w:r w:rsidRPr="0054113B">
        <w:rPr>
          <w:rFonts w:asciiTheme="minorHAnsi" w:eastAsia="Times New Roman" w:hAnsiTheme="minorHAnsi"/>
          <w:sz w:val="22"/>
          <w:szCs w:val="22"/>
        </w:rPr>
        <w:t>Drive in cinemas can operate. There are no patron limits, but customers are not permitted to be seated outside of their car.</w:t>
      </w:r>
    </w:p>
    <w:p w:rsidR="001B1496" w:rsidRPr="0054113B" w:rsidRDefault="001B1496" w:rsidP="001B1496">
      <w:pPr>
        <w:rPr>
          <w:rFonts w:asciiTheme="minorHAnsi" w:hAnsiTheme="minorHAnsi"/>
        </w:rPr>
      </w:pPr>
    </w:p>
    <w:p w:rsidR="001B1496" w:rsidRPr="0054113B" w:rsidRDefault="001B1496" w:rsidP="001B1496">
      <w:pPr>
        <w:rPr>
          <w:rFonts w:asciiTheme="minorHAnsi" w:eastAsia="Times New Roman" w:hAnsiTheme="minorHAnsi"/>
          <w:lang w:eastAsia="en-AU"/>
        </w:rPr>
      </w:pPr>
      <w:r w:rsidRPr="0054113B">
        <w:rPr>
          <w:rFonts w:asciiTheme="minorHAnsi" w:eastAsia="Times New Roman" w:hAnsiTheme="minorHAnsi"/>
          <w:lang w:eastAsia="en-AU"/>
        </w:rPr>
        <w:t> </w:t>
      </w:r>
    </w:p>
    <w:p w:rsidR="001B1496" w:rsidRPr="0054113B" w:rsidRDefault="001B1496" w:rsidP="001B1496">
      <w:pPr>
        <w:rPr>
          <w:rFonts w:asciiTheme="minorHAnsi" w:hAnsiTheme="minorHAnsi"/>
        </w:rPr>
      </w:pPr>
    </w:p>
    <w:p w:rsidR="001B1496" w:rsidRDefault="001B1496" w:rsidP="001B1496"/>
    <w:p w:rsidR="001B1496" w:rsidRDefault="001B1496" w:rsidP="001B1496"/>
    <w:p w:rsidR="00E8635E" w:rsidRDefault="00E8635E"/>
    <w:sectPr w:rsidR="00E863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62E43"/>
    <w:multiLevelType w:val="multilevel"/>
    <w:tmpl w:val="EE8C1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933871"/>
    <w:multiLevelType w:val="multilevel"/>
    <w:tmpl w:val="1B90C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0C67D5"/>
    <w:multiLevelType w:val="multilevel"/>
    <w:tmpl w:val="42CCF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864A7F"/>
    <w:multiLevelType w:val="multilevel"/>
    <w:tmpl w:val="4BCC5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496"/>
    <w:rsid w:val="001B1496"/>
    <w:rsid w:val="00BC2BAD"/>
    <w:rsid w:val="00E863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66955"/>
  <w15:chartTrackingRefBased/>
  <w15:docId w15:val="{4CF9BFB4-FB39-4C1B-BCB8-E97912DFC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149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496"/>
    <w:pPr>
      <w:ind w:left="720"/>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Noori</dc:creator>
  <cp:keywords/>
  <dc:description/>
  <cp:lastModifiedBy>Sara Noori</cp:lastModifiedBy>
  <cp:revision>2</cp:revision>
  <dcterms:created xsi:type="dcterms:W3CDTF">2020-06-23T21:43:00Z</dcterms:created>
  <dcterms:modified xsi:type="dcterms:W3CDTF">2020-06-23T21:44:00Z</dcterms:modified>
</cp:coreProperties>
</file>